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A70E" w14:textId="4718CA67" w:rsidR="00F64CA7" w:rsidRDefault="00F64CA7" w:rsidP="001A016D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  <w:r>
        <w:rPr>
          <w:rFonts w:ascii="Metropolis" w:eastAsia="Times New Roman" w:hAnsi="Metropolis" w:cs="Times New Roman"/>
          <w:b/>
          <w:bCs/>
          <w:noProof/>
          <w:color w:val="000000" w:themeColor="text1"/>
          <w:kern w:val="36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8F33E76" wp14:editId="78B40665">
            <wp:simplePos x="0" y="0"/>
            <wp:positionH relativeFrom="margin">
              <wp:align>center</wp:align>
            </wp:positionH>
            <wp:positionV relativeFrom="paragraph">
              <wp:posOffset>-640080</wp:posOffset>
            </wp:positionV>
            <wp:extent cx="2072640" cy="14646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46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7EE7" w14:textId="2AD54F2A" w:rsidR="00F64CA7" w:rsidRDefault="00F64CA7" w:rsidP="001A016D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</w:p>
    <w:p w14:paraId="79A18CF6" w14:textId="6E7CA20B" w:rsidR="00C760C2" w:rsidRPr="001A016D" w:rsidRDefault="00A309C1" w:rsidP="00C760C2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AVIS N°202</w:t>
      </w:r>
      <w:r w:rsidR="005B04C2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2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-01</w:t>
      </w:r>
      <w:r w:rsid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 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du </w:t>
      </w:r>
      <w:r w:rsidR="00C760C2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17 FEVRIER 2022</w:t>
      </w:r>
    </w:p>
    <w:p w14:paraId="3F00CC94" w14:textId="1CB528DA" w:rsidR="001A016D" w:rsidRDefault="001A016D" w:rsidP="001A016D">
      <w:pPr>
        <w:spacing w:after="0" w:line="240" w:lineRule="auto"/>
        <w:jc w:val="both"/>
        <w:rPr>
          <w:rFonts w:ascii="Metropolis" w:eastAsia="Times New Roman" w:hAnsi="Metropolis" w:cs="Helvetica"/>
          <w:b/>
          <w:bCs/>
          <w:color w:val="444444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5080"/>
      </w:tblGrid>
      <w:tr w:rsidR="009C5E02" w14:paraId="392850AA" w14:textId="77777777" w:rsidTr="009C5E02">
        <w:trPr>
          <w:trHeight w:val="1445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6287381" w14:textId="6697F493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Pouvoir adjudicateur</w:t>
            </w:r>
          </w:p>
        </w:tc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7C639A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Syndicat Mixte du Pays du Calaisis</w:t>
            </w:r>
          </w:p>
          <w:p w14:paraId="5505B235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Hôtel de ville de Calais</w:t>
            </w:r>
          </w:p>
          <w:p w14:paraId="56927BFC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Place du soldat Inconnu</w:t>
            </w:r>
          </w:p>
          <w:p w14:paraId="4CAB5F7E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62 100 CALAIS</w:t>
            </w:r>
          </w:p>
          <w:p w14:paraId="58E3E07F" w14:textId="39C7C67C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proofErr w:type="gramStart"/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E-mail</w:t>
            </w:r>
            <w:proofErr w:type="gramEnd"/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 : </w:t>
            </w:r>
            <w:hyperlink r:id="rId6" w:history="1">
              <w:r w:rsidRPr="008D4FDE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julie.tueux@pays-du-calaisis.fr</w:t>
              </w:r>
            </w:hyperlink>
          </w:p>
        </w:tc>
      </w:tr>
      <w:tr w:rsidR="009C5E02" w14:paraId="06FD3D3B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AAB4C25" w14:textId="3AAEC72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Objet / catégorie du marché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894FEBB" w14:textId="53FFC3BE" w:rsidR="001A016D" w:rsidRPr="001A016D" w:rsidRDefault="001A016D" w:rsidP="007A1FB5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40" w:lineRule="auto"/>
              <w:jc w:val="both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Le présent marché concerne</w:t>
            </w:r>
            <w:r w:rsidR="008134A8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 l’élaboration </w:t>
            </w:r>
            <w:r w:rsidR="007A1FB5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d’une stratégie et déploiement d’un programme d’actions de sensibilisation et de formation des acteurs du territoire aux enjeux du SCOT du Pays du Calaisis</w:t>
            </w: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5E02" w14:paraId="3121B7EF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3C22A620" w14:textId="4668B2EE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Procédure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4BDB1D" w14:textId="7982FE24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Adaptée &lt; 90 k € HT</w:t>
            </w:r>
          </w:p>
        </w:tc>
      </w:tr>
      <w:tr w:rsidR="009C5E02" w14:paraId="6D798900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759A21D7" w14:textId="701A7C6F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Forme du marché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112307" w14:textId="71C3BE84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Marché ordinaire.</w:t>
            </w:r>
          </w:p>
        </w:tc>
      </w:tr>
      <w:tr w:rsidR="009C5E02" w14:paraId="4B38671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6A89AD73" w14:textId="6CCEE1F7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Durée du marché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CFF6B6" w14:textId="45071293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Du 15/</w:t>
            </w:r>
            <w:r w:rsidR="00D81C51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05/2022 au 15/11/2024</w:t>
            </w:r>
          </w:p>
        </w:tc>
      </w:tr>
      <w:tr w:rsidR="009C5E02" w14:paraId="4FB28B8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4DD8391F" w14:textId="0D50ED1A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Date limite de réception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142A95" w14:textId="616F3608" w:rsidR="001A016D" w:rsidRPr="001A016D" w:rsidRDefault="00D81C51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Vendredi </w:t>
            </w:r>
            <w:r w:rsidR="005B04C2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15 avril 2022 à 12H00</w:t>
            </w:r>
          </w:p>
        </w:tc>
      </w:tr>
      <w:tr w:rsidR="009C5E02" w14:paraId="6184DFF3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FA01F40" w14:textId="22D5EAA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Présentation des offres/candidatures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DBA63B" w14:textId="7F43ACC6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Conformément à l’article 3 du règlement de consultation.</w:t>
            </w:r>
          </w:p>
        </w:tc>
      </w:tr>
      <w:tr w:rsidR="009C5E02" w14:paraId="714BF335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41906829" w14:textId="749EA12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Critère de choix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F8C289" w14:textId="05AB7F2A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Prix (40 pts) et valeur technique (60 pts).</w:t>
            </w:r>
          </w:p>
        </w:tc>
      </w:tr>
      <w:tr w:rsidR="009C5E02" w14:paraId="021EBABE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FF3523C" w14:textId="7C5DB8A7" w:rsidR="001A016D" w:rsidRPr="001A016D" w:rsidRDefault="001A016D" w:rsidP="009C5E02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Lieu de remise et modalités de réception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A67D3A" w14:textId="351C8CB7" w:rsidR="001A016D" w:rsidRPr="001A016D" w:rsidRDefault="001A016D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Conformément à l’article 3 du règlement de consultation, les offres peuvent être transmises par voie électronique sur le site électronique : </w:t>
            </w:r>
            <w:hyperlink r:id="rId7" w:history="1">
              <w:r w:rsidRPr="001A016D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http://marchespublics596280.fr</w:t>
              </w:r>
            </w:hyperlink>
          </w:p>
        </w:tc>
      </w:tr>
      <w:tr w:rsidR="009C5E02" w14:paraId="60EE1B9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CE29A40" w14:textId="3BAC235D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Instance de recours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8A8706F" w14:textId="4D38FDF3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Le Tribunal Administratif de Lille, 5 Rue Geoffroy Saint-Hilaire, 59014 Lille Cedex</w:t>
            </w:r>
          </w:p>
        </w:tc>
      </w:tr>
      <w:tr w:rsidR="009C5E02" w14:paraId="23CA1227" w14:textId="77777777" w:rsidTr="007179A7">
        <w:trPr>
          <w:trHeight w:val="709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684608E1" w14:textId="779A4DA0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Le dossier est téléchargeable gratuitement sur le site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04CA1B" w14:textId="0D148B9A" w:rsidR="007179A7" w:rsidRPr="001A016D" w:rsidRDefault="005B04C2" w:rsidP="007179A7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hyperlink r:id="rId8" w:history="1">
              <w:r w:rsidR="007179A7" w:rsidRPr="0012412F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https://marchespublics596280.fr/</w:t>
              </w:r>
            </w:hyperlink>
          </w:p>
        </w:tc>
      </w:tr>
    </w:tbl>
    <w:p w14:paraId="5DBC5EF2" w14:textId="7FDED58E" w:rsidR="00A60C24" w:rsidRPr="0007049D" w:rsidRDefault="00A60C24" w:rsidP="001A016D">
      <w:pPr>
        <w:jc w:val="both"/>
        <w:rPr>
          <w:rFonts w:ascii="Metropolis" w:hAnsi="Metropolis"/>
          <w:sz w:val="24"/>
          <w:szCs w:val="24"/>
        </w:rPr>
      </w:pPr>
    </w:p>
    <w:sectPr w:rsidR="00A60C24" w:rsidRPr="0007049D" w:rsidSect="003744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polis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1"/>
    <w:rsid w:val="0007049D"/>
    <w:rsid w:val="00186DB3"/>
    <w:rsid w:val="001A016D"/>
    <w:rsid w:val="002C6310"/>
    <w:rsid w:val="003744F3"/>
    <w:rsid w:val="005B04C2"/>
    <w:rsid w:val="007179A7"/>
    <w:rsid w:val="007A1FB5"/>
    <w:rsid w:val="008134A8"/>
    <w:rsid w:val="009C5E02"/>
    <w:rsid w:val="00A309C1"/>
    <w:rsid w:val="00A60C24"/>
    <w:rsid w:val="00C760C2"/>
    <w:rsid w:val="00D81C51"/>
    <w:rsid w:val="00E517D2"/>
    <w:rsid w:val="00F6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32A"/>
  <w15:chartTrackingRefBased/>
  <w15:docId w15:val="{FD2CA810-8CCC-40EE-AD0A-D25087B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01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016D"/>
    <w:rPr>
      <w:color w:val="605E5C"/>
      <w:shd w:val="clear" w:color="auto" w:fill="E1DFDD"/>
    </w:rPr>
  </w:style>
  <w:style w:type="paragraph" w:customStyle="1" w:styleId="Standard">
    <w:name w:val="Standard"/>
    <w:rsid w:val="008134A8"/>
    <w:pPr>
      <w:suppressAutoHyphens/>
      <w:autoSpaceDN w:val="0"/>
      <w:spacing w:line="247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chespublics596280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chespublics596280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lie.tueux@pays-du-calaisis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8CF8-6E09-4173-81D7-6199DAC4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Tueux</dc:creator>
  <cp:keywords/>
  <dc:description/>
  <cp:lastModifiedBy>Julie Tueux</cp:lastModifiedBy>
  <cp:revision>10</cp:revision>
  <dcterms:created xsi:type="dcterms:W3CDTF">2021-09-09T15:48:00Z</dcterms:created>
  <dcterms:modified xsi:type="dcterms:W3CDTF">2022-02-15T15:42:00Z</dcterms:modified>
</cp:coreProperties>
</file>